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B5C96" w14:textId="1580D1F1" w:rsidR="00F006B0" w:rsidRDefault="003320C3" w:rsidP="00621D69">
      <w:pPr>
        <w:spacing w:after="0"/>
        <w:jc w:val="center"/>
        <w:rPr>
          <w:rFonts w:ascii="Copperplate Gothic Bold" w:hAnsi="Copperplate Gothic Bold"/>
          <w:b/>
          <w:sz w:val="56"/>
        </w:rPr>
      </w:pPr>
      <w:r>
        <w:rPr>
          <w:rFonts w:ascii="Copperplate Gothic Bold" w:hAnsi="Copperplate Gothic Bold"/>
          <w:b/>
          <w:sz w:val="56"/>
        </w:rPr>
        <w:t>Brazoria County Sheriff's Office</w:t>
      </w:r>
    </w:p>
    <w:p w14:paraId="5793904B" w14:textId="3DC71CB7" w:rsidR="00A911E1" w:rsidRPr="005C730E" w:rsidRDefault="00A911E1" w:rsidP="00621D69">
      <w:pPr>
        <w:spacing w:after="0"/>
        <w:jc w:val="center"/>
        <w:rPr>
          <w:rFonts w:ascii="Copperplate Gothic Bold" w:hAnsi="Copperplate Gothic Bold"/>
          <w:b/>
          <w:sz w:val="56"/>
        </w:rPr>
      </w:pPr>
      <w:r>
        <w:rPr>
          <w:rFonts w:ascii="Copperplate Gothic Bold" w:hAnsi="Copperplate Gothic Bold"/>
          <w:b/>
          <w:sz w:val="56"/>
        </w:rPr>
        <w:t>Upcoming CE Course</w:t>
      </w:r>
    </w:p>
    <w:tbl>
      <w:tblPr>
        <w:tblStyle w:val="TableGrid"/>
        <w:tblpPr w:leftFromText="180" w:rightFromText="180" w:vertAnchor="page" w:horzAnchor="margin" w:tblpY="2193"/>
        <w:tblW w:w="11178" w:type="dxa"/>
        <w:tblLook w:val="04A0" w:firstRow="1" w:lastRow="0" w:firstColumn="1" w:lastColumn="0" w:noHBand="0" w:noVBand="1"/>
      </w:tblPr>
      <w:tblGrid>
        <w:gridCol w:w="5334"/>
        <w:gridCol w:w="5844"/>
      </w:tblGrid>
      <w:tr w:rsidR="004A5BF6" w14:paraId="5067AA9C" w14:textId="77777777" w:rsidTr="004A5BF6">
        <w:trPr>
          <w:trHeight w:val="624"/>
        </w:trPr>
        <w:tc>
          <w:tcPr>
            <w:tcW w:w="4382" w:type="dxa"/>
            <w:vMerge w:val="restart"/>
          </w:tcPr>
          <w:p w14:paraId="448BC461" w14:textId="3B74CDFF" w:rsidR="004A5BF6" w:rsidRPr="00A911E1" w:rsidRDefault="003320C3" w:rsidP="004A5BF6">
            <w:pPr>
              <w:jc w:val="center"/>
              <w:rPr>
                <w:b/>
                <w:sz w:val="40"/>
                <w:szCs w:val="28"/>
                <w:u w:val="single"/>
              </w:rPr>
            </w:pPr>
            <w:r>
              <w:rPr>
                <w:b/>
                <w:sz w:val="40"/>
                <w:szCs w:val="28"/>
                <w:u w:val="single"/>
              </w:rPr>
              <w:t>Angleton</w:t>
            </w:r>
            <w:r w:rsidR="004A5BF6" w:rsidRPr="00A911E1">
              <w:rPr>
                <w:b/>
                <w:sz w:val="40"/>
                <w:szCs w:val="28"/>
                <w:u w:val="single"/>
              </w:rPr>
              <w:t>, TX</w:t>
            </w:r>
          </w:p>
          <w:p w14:paraId="0F525037" w14:textId="10E780A6" w:rsidR="004A5BF6" w:rsidRPr="00A911E1" w:rsidRDefault="003320C3" w:rsidP="00621D69">
            <w:pPr>
              <w:jc w:val="center"/>
              <w:rPr>
                <w:sz w:val="40"/>
                <w:szCs w:val="28"/>
              </w:rPr>
            </w:pPr>
            <w:r>
              <w:rPr>
                <w:sz w:val="40"/>
                <w:szCs w:val="28"/>
              </w:rPr>
              <w:t>19-20 February 2025</w:t>
            </w:r>
          </w:p>
          <w:p w14:paraId="1C3ED9AE" w14:textId="77777777" w:rsidR="00621D69" w:rsidRDefault="00621D69" w:rsidP="00621D69">
            <w:pPr>
              <w:jc w:val="center"/>
              <w:rPr>
                <w:sz w:val="32"/>
              </w:rPr>
            </w:pPr>
          </w:p>
          <w:p w14:paraId="63DBF504" w14:textId="77777777" w:rsidR="00ED7BD1" w:rsidRPr="00A911E1" w:rsidRDefault="00ED7BD1" w:rsidP="00ED7BD1">
            <w:pPr>
              <w:jc w:val="center"/>
              <w:rPr>
                <w:b/>
                <w:sz w:val="40"/>
                <w:szCs w:val="28"/>
              </w:rPr>
            </w:pPr>
            <w:r w:rsidRPr="00A911E1">
              <w:rPr>
                <w:b/>
                <w:sz w:val="40"/>
                <w:szCs w:val="28"/>
                <w:u w:val="single"/>
              </w:rPr>
              <w:t>Hosted by</w:t>
            </w:r>
            <w:r w:rsidRPr="00A911E1">
              <w:rPr>
                <w:b/>
                <w:sz w:val="40"/>
                <w:szCs w:val="28"/>
              </w:rPr>
              <w:t>:</w:t>
            </w:r>
          </w:p>
          <w:p w14:paraId="084768E4" w14:textId="21116DE7" w:rsidR="00ED7BD1" w:rsidRDefault="003320C3" w:rsidP="00ED7BD1">
            <w:pPr>
              <w:jc w:val="center"/>
              <w:rPr>
                <w:b/>
                <w:sz w:val="32"/>
              </w:rPr>
            </w:pPr>
            <w:r>
              <w:rPr>
                <w:b/>
                <w:sz w:val="32"/>
              </w:rPr>
              <w:t>Brazoria County Sheriff’s Office</w:t>
            </w:r>
          </w:p>
          <w:p w14:paraId="3D67EB04" w14:textId="77777777" w:rsidR="001C5908" w:rsidRPr="00ED7BD1" w:rsidRDefault="001C5908" w:rsidP="00ED7BD1">
            <w:pPr>
              <w:jc w:val="center"/>
              <w:rPr>
                <w:b/>
                <w:sz w:val="32"/>
              </w:rPr>
            </w:pPr>
          </w:p>
          <w:p w14:paraId="368FA93A" w14:textId="09F1C6F2" w:rsidR="004A5BF6" w:rsidRPr="00A911E1" w:rsidRDefault="004A5BF6" w:rsidP="004A5BF6">
            <w:pPr>
              <w:jc w:val="center"/>
              <w:rPr>
                <w:b/>
                <w:sz w:val="40"/>
                <w:szCs w:val="28"/>
              </w:rPr>
            </w:pPr>
            <w:r w:rsidRPr="00A911E1">
              <w:rPr>
                <w:b/>
                <w:sz w:val="40"/>
                <w:szCs w:val="28"/>
                <w:u w:val="single"/>
              </w:rPr>
              <w:t>Training Site Address</w:t>
            </w:r>
            <w:r w:rsidR="005A4141" w:rsidRPr="00A911E1">
              <w:rPr>
                <w:b/>
                <w:sz w:val="40"/>
                <w:szCs w:val="28"/>
              </w:rPr>
              <w:t>:</w:t>
            </w:r>
          </w:p>
          <w:p w14:paraId="73157EF1" w14:textId="43D88747" w:rsidR="005A4141" w:rsidRPr="003320C3" w:rsidRDefault="003320C3" w:rsidP="00F02354">
            <w:pPr>
              <w:jc w:val="center"/>
              <w:rPr>
                <w:rFonts w:ascii="Cambria" w:eastAsia="Cambria" w:hAnsi="Cambria" w:cs="Cambria"/>
                <w:sz w:val="32"/>
              </w:rPr>
            </w:pPr>
            <w:r w:rsidRPr="003320C3">
              <w:rPr>
                <w:rFonts w:ascii="Cambria" w:eastAsia="Cambria" w:hAnsi="Cambria" w:cs="Cambria"/>
                <w:sz w:val="32"/>
              </w:rPr>
              <w:t>3602 County Road 45</w:t>
            </w:r>
          </w:p>
          <w:p w14:paraId="46228078" w14:textId="62AB7A8F" w:rsidR="003320C3" w:rsidRPr="003320C3" w:rsidRDefault="003320C3" w:rsidP="00F02354">
            <w:pPr>
              <w:jc w:val="center"/>
              <w:rPr>
                <w:rFonts w:ascii="Cambria" w:eastAsia="Cambria" w:hAnsi="Cambria" w:cs="Cambria"/>
                <w:sz w:val="32"/>
              </w:rPr>
            </w:pPr>
            <w:r w:rsidRPr="003320C3">
              <w:rPr>
                <w:rFonts w:ascii="Cambria" w:eastAsia="Cambria" w:hAnsi="Cambria" w:cs="Cambria"/>
                <w:sz w:val="32"/>
              </w:rPr>
              <w:t>Angleton, TX 77515</w:t>
            </w:r>
          </w:p>
          <w:p w14:paraId="3154623B" w14:textId="0D4940A3" w:rsidR="001C5908" w:rsidRDefault="001C5908" w:rsidP="00F02354">
            <w:pPr>
              <w:jc w:val="center"/>
              <w:rPr>
                <w:rFonts w:ascii="Cambria" w:eastAsia="Cambria" w:hAnsi="Cambria" w:cs="Cambria"/>
                <w:szCs w:val="16"/>
              </w:rPr>
            </w:pPr>
          </w:p>
          <w:p w14:paraId="4E416077" w14:textId="77777777" w:rsidR="001C5908" w:rsidRPr="00B45B24" w:rsidRDefault="001C5908" w:rsidP="00F02354">
            <w:pPr>
              <w:jc w:val="center"/>
              <w:rPr>
                <w:rFonts w:ascii="Cambria" w:eastAsia="Cambria" w:hAnsi="Cambria" w:cs="Cambria"/>
                <w:szCs w:val="16"/>
              </w:rPr>
            </w:pPr>
          </w:p>
          <w:p w14:paraId="3D126491" w14:textId="77777777" w:rsidR="004A5BF6" w:rsidRPr="00856E11" w:rsidRDefault="004A5BF6" w:rsidP="00856E11">
            <w:pPr>
              <w:jc w:val="center"/>
              <w:rPr>
                <w:sz w:val="32"/>
              </w:rPr>
            </w:pPr>
            <w:r w:rsidRPr="004A5BF6">
              <w:rPr>
                <w:sz w:val="28"/>
              </w:rPr>
              <w:t>Register at:</w:t>
            </w:r>
          </w:p>
          <w:p w14:paraId="05A8EBE4" w14:textId="4A6E5B89" w:rsidR="00856E11" w:rsidRDefault="00000000" w:rsidP="004A5BF6">
            <w:pPr>
              <w:rPr>
                <w:sz w:val="28"/>
              </w:rPr>
            </w:pPr>
            <w:hyperlink r:id="rId5" w:history="1">
              <w:r w:rsidR="008A55D8" w:rsidRPr="00036308">
                <w:rPr>
                  <w:rStyle w:val="Hyperlink"/>
                  <w:sz w:val="28"/>
                </w:rPr>
                <w:t>www.humaneeducatorsoftexas.com</w:t>
              </w:r>
            </w:hyperlink>
            <w:r w:rsidR="00913A83">
              <w:rPr>
                <w:rStyle w:val="Hyperlink"/>
                <w:sz w:val="28"/>
              </w:rPr>
              <w:t>/register</w:t>
            </w:r>
          </w:p>
          <w:p w14:paraId="3C6E3BCE" w14:textId="77777777" w:rsidR="00856E11" w:rsidRPr="004A5BF6" w:rsidRDefault="00856E11" w:rsidP="00856E11">
            <w:pPr>
              <w:jc w:val="center"/>
              <w:rPr>
                <w:sz w:val="28"/>
              </w:rPr>
            </w:pPr>
            <w:r>
              <w:rPr>
                <w:sz w:val="28"/>
              </w:rPr>
              <w:t>or</w:t>
            </w:r>
          </w:p>
          <w:p w14:paraId="6BF92D98" w14:textId="77777777" w:rsidR="004A5BF6" w:rsidRPr="004A5BF6" w:rsidRDefault="00000000" w:rsidP="00913A83">
            <w:pPr>
              <w:jc w:val="center"/>
              <w:rPr>
                <w:sz w:val="28"/>
              </w:rPr>
            </w:pPr>
            <w:hyperlink r:id="rId6" w:history="1">
              <w:r w:rsidR="004A5BF6" w:rsidRPr="004A5BF6">
                <w:rPr>
                  <w:rStyle w:val="Hyperlink"/>
                  <w:sz w:val="28"/>
                </w:rPr>
                <w:t>Info@humaneeducatorsoftexas.com</w:t>
              </w:r>
            </w:hyperlink>
          </w:p>
          <w:p w14:paraId="5156FF4D" w14:textId="77777777" w:rsidR="004A5BF6" w:rsidRDefault="00856E11" w:rsidP="00913A83">
            <w:pPr>
              <w:jc w:val="center"/>
              <w:rPr>
                <w:sz w:val="28"/>
              </w:rPr>
            </w:pPr>
            <w:r>
              <w:rPr>
                <w:sz w:val="28"/>
              </w:rPr>
              <w:t xml:space="preserve">Call us at:  </w:t>
            </w:r>
            <w:r w:rsidR="004A5BF6" w:rsidRPr="004A5BF6">
              <w:rPr>
                <w:sz w:val="28"/>
              </w:rPr>
              <w:t>512-221-5464</w:t>
            </w:r>
          </w:p>
          <w:p w14:paraId="6D30C9DE" w14:textId="003B6DCA" w:rsidR="00E35F67" w:rsidRDefault="00E35F67" w:rsidP="00E35F67">
            <w:pPr>
              <w:jc w:val="center"/>
              <w:rPr>
                <w:sz w:val="20"/>
                <w:szCs w:val="16"/>
              </w:rPr>
            </w:pPr>
          </w:p>
          <w:p w14:paraId="02EF94C9" w14:textId="3C2B918D" w:rsidR="001B1CC7" w:rsidRDefault="001B1CC7" w:rsidP="00E35F67">
            <w:pPr>
              <w:jc w:val="center"/>
              <w:rPr>
                <w:sz w:val="20"/>
                <w:szCs w:val="16"/>
              </w:rPr>
            </w:pPr>
          </w:p>
          <w:p w14:paraId="6E7BAEB7" w14:textId="77777777" w:rsidR="001B1CC7" w:rsidRPr="00B45B24" w:rsidRDefault="001B1CC7" w:rsidP="00E35F67">
            <w:pPr>
              <w:jc w:val="center"/>
              <w:rPr>
                <w:sz w:val="20"/>
                <w:szCs w:val="16"/>
              </w:rPr>
            </w:pPr>
          </w:p>
          <w:p w14:paraId="03BD2DFB" w14:textId="77777777" w:rsidR="008A55D8" w:rsidRPr="00B92242" w:rsidRDefault="008A55D8" w:rsidP="008A55D8">
            <w:pPr>
              <w:jc w:val="center"/>
              <w:rPr>
                <w:b/>
                <w:sz w:val="32"/>
              </w:rPr>
            </w:pPr>
            <w:r w:rsidRPr="006F637E">
              <w:rPr>
                <w:b/>
                <w:sz w:val="32"/>
                <w:u w:val="single"/>
              </w:rPr>
              <w:t>Course Cost per Student</w:t>
            </w:r>
            <w:r>
              <w:rPr>
                <w:b/>
                <w:sz w:val="32"/>
              </w:rPr>
              <w:t>:</w:t>
            </w:r>
          </w:p>
          <w:p w14:paraId="5D3CCAC2" w14:textId="77777777" w:rsidR="001B1CC7" w:rsidRPr="00FE531C" w:rsidRDefault="001B1CC7" w:rsidP="00B45B24">
            <w:pPr>
              <w:jc w:val="center"/>
              <w:rPr>
                <w:sz w:val="20"/>
                <w:szCs w:val="14"/>
              </w:rPr>
            </w:pPr>
          </w:p>
          <w:p w14:paraId="457C0911" w14:textId="05D0AA5E" w:rsidR="001C5908" w:rsidRDefault="003320C3" w:rsidP="00B45B24">
            <w:pPr>
              <w:jc w:val="center"/>
              <w:rPr>
                <w:sz w:val="32"/>
              </w:rPr>
            </w:pPr>
            <w:r>
              <w:rPr>
                <w:sz w:val="32"/>
              </w:rPr>
              <w:t>DSHS Hours - $325</w:t>
            </w:r>
          </w:p>
          <w:p w14:paraId="60BCF9ED" w14:textId="6550445F" w:rsidR="003320C3" w:rsidRDefault="003320C3" w:rsidP="00B45B24">
            <w:pPr>
              <w:jc w:val="center"/>
              <w:rPr>
                <w:sz w:val="32"/>
              </w:rPr>
            </w:pPr>
            <w:r>
              <w:rPr>
                <w:sz w:val="32"/>
              </w:rPr>
              <w:t>TCOLE Hours - $360</w:t>
            </w:r>
          </w:p>
          <w:p w14:paraId="12303A5A" w14:textId="77777777" w:rsidR="001C5908" w:rsidRDefault="001C5908" w:rsidP="00B45B24">
            <w:pPr>
              <w:jc w:val="center"/>
              <w:rPr>
                <w:sz w:val="32"/>
              </w:rPr>
            </w:pPr>
          </w:p>
          <w:p w14:paraId="22507B96" w14:textId="4274B428" w:rsidR="001B1CC7" w:rsidRPr="00DF5268" w:rsidRDefault="001B1CC7" w:rsidP="00B45B24">
            <w:pPr>
              <w:jc w:val="center"/>
              <w:rPr>
                <w:sz w:val="32"/>
              </w:rPr>
            </w:pPr>
            <w:r>
              <w:rPr>
                <w:noProof/>
                <w:sz w:val="32"/>
              </w:rPr>
              <w:drawing>
                <wp:anchor distT="0" distB="0" distL="114300" distR="114300" simplePos="0" relativeHeight="251658240" behindDoc="0" locked="0" layoutInCell="1" allowOverlap="1" wp14:anchorId="5496BB4D" wp14:editId="132271D8">
                  <wp:simplePos x="0" y="0"/>
                  <wp:positionH relativeFrom="column">
                    <wp:posOffset>784860</wp:posOffset>
                  </wp:positionH>
                  <wp:positionV relativeFrom="paragraph">
                    <wp:posOffset>92710</wp:posOffset>
                  </wp:positionV>
                  <wp:extent cx="1784851" cy="1978025"/>
                  <wp:effectExtent l="0" t="0" r="6350" b="3175"/>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4851" cy="1978025"/>
                          </a:xfrm>
                          <a:prstGeom prst="rect">
                            <a:avLst/>
                          </a:prstGeom>
                        </pic:spPr>
                      </pic:pic>
                    </a:graphicData>
                  </a:graphic>
                  <wp14:sizeRelH relativeFrom="margin">
                    <wp14:pctWidth>0</wp14:pctWidth>
                  </wp14:sizeRelH>
                  <wp14:sizeRelV relativeFrom="margin">
                    <wp14:pctHeight>0</wp14:pctHeight>
                  </wp14:sizeRelV>
                </wp:anchor>
              </w:drawing>
            </w:r>
          </w:p>
        </w:tc>
        <w:tc>
          <w:tcPr>
            <w:tcW w:w="6796" w:type="dxa"/>
            <w:vAlign w:val="center"/>
          </w:tcPr>
          <w:p w14:paraId="04A1DB53" w14:textId="437524DB" w:rsidR="004A5BF6" w:rsidRPr="00B92242" w:rsidRDefault="004A5BF6" w:rsidP="004A5BF6">
            <w:pPr>
              <w:jc w:val="center"/>
              <w:rPr>
                <w:b/>
                <w:sz w:val="44"/>
              </w:rPr>
            </w:pPr>
            <w:r w:rsidRPr="00B92242">
              <w:rPr>
                <w:b/>
                <w:sz w:val="44"/>
              </w:rPr>
              <w:t>Courses Being Provided</w:t>
            </w:r>
            <w:r w:rsidR="00A77602">
              <w:rPr>
                <w:b/>
                <w:sz w:val="44"/>
              </w:rPr>
              <w:t>:</w:t>
            </w:r>
          </w:p>
        </w:tc>
      </w:tr>
      <w:tr w:rsidR="004A5BF6" w14:paraId="034469B1" w14:textId="77777777" w:rsidTr="0008083D">
        <w:trPr>
          <w:trHeight w:val="11597"/>
        </w:trPr>
        <w:tc>
          <w:tcPr>
            <w:tcW w:w="4382" w:type="dxa"/>
            <w:vMerge/>
            <w:tcBorders>
              <w:bottom w:val="single" w:sz="4" w:space="0" w:color="auto"/>
            </w:tcBorders>
            <w:vAlign w:val="center"/>
          </w:tcPr>
          <w:p w14:paraId="34090A00" w14:textId="77777777" w:rsidR="004A5BF6" w:rsidRDefault="004A5BF6" w:rsidP="004A5BF6">
            <w:pPr>
              <w:jc w:val="center"/>
            </w:pPr>
          </w:p>
        </w:tc>
        <w:tc>
          <w:tcPr>
            <w:tcW w:w="6796" w:type="dxa"/>
          </w:tcPr>
          <w:p w14:paraId="5D41DA11" w14:textId="77777777" w:rsidR="00720AFF" w:rsidRPr="003320C3" w:rsidRDefault="00720AFF" w:rsidP="001B1CC7">
            <w:pPr>
              <w:jc w:val="center"/>
              <w:rPr>
                <w:b/>
                <w:sz w:val="12"/>
                <w:szCs w:val="8"/>
              </w:rPr>
            </w:pPr>
          </w:p>
          <w:p w14:paraId="0ED1251A" w14:textId="25F14CF3" w:rsidR="00A77602" w:rsidRPr="003320C3" w:rsidRDefault="003320C3" w:rsidP="001B1CC7">
            <w:pPr>
              <w:jc w:val="center"/>
              <w:rPr>
                <w:sz w:val="36"/>
                <w:szCs w:val="28"/>
              </w:rPr>
            </w:pPr>
            <w:r w:rsidRPr="003320C3">
              <w:rPr>
                <w:b/>
                <w:bCs/>
                <w:sz w:val="36"/>
                <w:szCs w:val="28"/>
                <w:u w:val="single"/>
              </w:rPr>
              <w:t>Dangerous Dog Investigator</w:t>
            </w:r>
          </w:p>
          <w:p w14:paraId="6A362EE7" w14:textId="77777777" w:rsidR="003320C3" w:rsidRPr="003320C3" w:rsidRDefault="003320C3" w:rsidP="001B1CC7">
            <w:pPr>
              <w:jc w:val="center"/>
              <w:rPr>
                <w:sz w:val="16"/>
                <w:szCs w:val="12"/>
              </w:rPr>
            </w:pPr>
          </w:p>
          <w:p w14:paraId="47DAE601" w14:textId="77777777" w:rsidR="003320C3" w:rsidRPr="003320C3" w:rsidRDefault="003320C3" w:rsidP="003320C3">
            <w:pPr>
              <w:jc w:val="center"/>
              <w:rPr>
                <w:sz w:val="28"/>
              </w:rPr>
            </w:pPr>
            <w:r w:rsidRPr="003320C3">
              <w:rPr>
                <w:sz w:val="28"/>
              </w:rPr>
              <w:t>This comprehensive 16-hour course offers an in-depth review of the Texas Health &amp; Safety Code 822, with a specific focus on handling Dangerous Dog cases. Participants will engage in detailed discussions and class participation aimed at building a solid understanding of the law. The course begins with an overview of key definitions and terminology, followed by real-world case studies that demonstrate how to identify and declare a dog dangerous.</w:t>
            </w:r>
          </w:p>
          <w:p w14:paraId="33B69DDD" w14:textId="77777777" w:rsidR="003320C3" w:rsidRPr="003320C3" w:rsidRDefault="003320C3" w:rsidP="003320C3">
            <w:pPr>
              <w:jc w:val="center"/>
              <w:rPr>
                <w:sz w:val="28"/>
              </w:rPr>
            </w:pPr>
            <w:r w:rsidRPr="003320C3">
              <w:rPr>
                <w:sz w:val="28"/>
              </w:rPr>
              <w:t>The curriculum also covers the court’s role in the Dangerous Dog declaration process, including how to prepare for court appearances, maintain proper documentation, and decide when to apply state law versus local ordinances. Additionally, participants will learn the specific state requirements for owning a dangerous dog and how local jurisdictions can build on these rules.</w:t>
            </w:r>
          </w:p>
          <w:p w14:paraId="7FD2F788" w14:textId="60B930EC" w:rsidR="003320C3" w:rsidRDefault="003320C3" w:rsidP="003320C3">
            <w:pPr>
              <w:jc w:val="center"/>
              <w:rPr>
                <w:sz w:val="28"/>
              </w:rPr>
            </w:pPr>
            <w:r w:rsidRPr="003320C3">
              <w:rPr>
                <w:sz w:val="28"/>
              </w:rPr>
              <w:t>Day two includes instruction on managing compliance, addressing broken compliance, and conducting compliance hearings. The afternoon features a practical exercise where each student will work through a dangerous dog case from start to finish, presenting their findings to the class. The course concludes with a review of subchapters B, C, and E of TXHSC 822.</w:t>
            </w:r>
            <w:r>
              <w:rPr>
                <w:sz w:val="28"/>
              </w:rPr>
              <w:t xml:space="preserve"> Included in tuition is a review of each agency’s dangerous dog ordinances.</w:t>
            </w:r>
          </w:p>
          <w:p w14:paraId="3694E272" w14:textId="77777777" w:rsidR="003320C3" w:rsidRPr="003320C3" w:rsidRDefault="003320C3" w:rsidP="003320C3">
            <w:pPr>
              <w:jc w:val="center"/>
              <w:rPr>
                <w:sz w:val="16"/>
                <w:szCs w:val="12"/>
              </w:rPr>
            </w:pPr>
          </w:p>
          <w:p w14:paraId="5B6F0AD9" w14:textId="3588E7BF" w:rsidR="003320C3" w:rsidRDefault="003320C3" w:rsidP="003320C3">
            <w:pPr>
              <w:jc w:val="center"/>
              <w:rPr>
                <w:i/>
                <w:iCs/>
                <w:sz w:val="20"/>
                <w:szCs w:val="16"/>
              </w:rPr>
            </w:pPr>
            <w:r>
              <w:rPr>
                <w:i/>
                <w:iCs/>
                <w:sz w:val="20"/>
                <w:szCs w:val="16"/>
              </w:rPr>
              <w:t>Qualified for 16 DSHS approved CE hours</w:t>
            </w:r>
          </w:p>
          <w:p w14:paraId="5C88B2E9" w14:textId="3B96A9F9" w:rsidR="00A911E1" w:rsidRPr="003320C3" w:rsidRDefault="003320C3" w:rsidP="003320C3">
            <w:pPr>
              <w:jc w:val="center"/>
              <w:rPr>
                <w:i/>
                <w:iCs/>
                <w:sz w:val="20"/>
                <w:szCs w:val="16"/>
              </w:rPr>
            </w:pPr>
            <w:r>
              <w:rPr>
                <w:i/>
                <w:iCs/>
                <w:sz w:val="20"/>
                <w:szCs w:val="16"/>
              </w:rPr>
              <w:t>TCOLE approved for 16 hours through partnership with Menger Public Safety Training.</w:t>
            </w:r>
          </w:p>
        </w:tc>
      </w:tr>
    </w:tbl>
    <w:p w14:paraId="729764FE" w14:textId="77777777" w:rsidR="00DD0292" w:rsidRPr="00DD0292" w:rsidRDefault="00DD0292" w:rsidP="00925C97">
      <w:pPr>
        <w:rPr>
          <w:rFonts w:ascii="Copperplate Gothic Bold" w:hAnsi="Copperplate Gothic Bold"/>
          <w:b/>
          <w:sz w:val="36"/>
        </w:rPr>
      </w:pPr>
    </w:p>
    <w:sectPr w:rsidR="00DD0292" w:rsidRPr="00DD0292" w:rsidSect="00B922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21F92"/>
    <w:multiLevelType w:val="multilevel"/>
    <w:tmpl w:val="B62C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F51C59"/>
    <w:multiLevelType w:val="multilevel"/>
    <w:tmpl w:val="8AEE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102892"/>
    <w:multiLevelType w:val="hybridMultilevel"/>
    <w:tmpl w:val="52F8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73EC0"/>
    <w:multiLevelType w:val="hybridMultilevel"/>
    <w:tmpl w:val="25F6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161850">
    <w:abstractNumId w:val="0"/>
  </w:num>
  <w:num w:numId="2" w16cid:durableId="349797578">
    <w:abstractNumId w:val="1"/>
  </w:num>
  <w:num w:numId="3" w16cid:durableId="131991959">
    <w:abstractNumId w:val="3"/>
  </w:num>
  <w:num w:numId="4" w16cid:durableId="1254699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37D"/>
    <w:rsid w:val="0008083D"/>
    <w:rsid w:val="000820B3"/>
    <w:rsid w:val="00133D81"/>
    <w:rsid w:val="001518F5"/>
    <w:rsid w:val="001B1CC7"/>
    <w:rsid w:val="001C5908"/>
    <w:rsid w:val="00313333"/>
    <w:rsid w:val="003320C3"/>
    <w:rsid w:val="003D4027"/>
    <w:rsid w:val="003E1D18"/>
    <w:rsid w:val="003F3095"/>
    <w:rsid w:val="00483EF1"/>
    <w:rsid w:val="004A5BF6"/>
    <w:rsid w:val="0055452B"/>
    <w:rsid w:val="00573372"/>
    <w:rsid w:val="005A4141"/>
    <w:rsid w:val="005B463B"/>
    <w:rsid w:val="005C730E"/>
    <w:rsid w:val="00621D69"/>
    <w:rsid w:val="006F637E"/>
    <w:rsid w:val="00720AFF"/>
    <w:rsid w:val="00725A66"/>
    <w:rsid w:val="00856E11"/>
    <w:rsid w:val="008A55D8"/>
    <w:rsid w:val="00913A83"/>
    <w:rsid w:val="00925C97"/>
    <w:rsid w:val="00953DC1"/>
    <w:rsid w:val="00996B53"/>
    <w:rsid w:val="009F7B70"/>
    <w:rsid w:val="00A00FFF"/>
    <w:rsid w:val="00A43068"/>
    <w:rsid w:val="00A53FDA"/>
    <w:rsid w:val="00A54270"/>
    <w:rsid w:val="00A55781"/>
    <w:rsid w:val="00A77602"/>
    <w:rsid w:val="00A82E8F"/>
    <w:rsid w:val="00A911E1"/>
    <w:rsid w:val="00AA32CE"/>
    <w:rsid w:val="00B16663"/>
    <w:rsid w:val="00B45B24"/>
    <w:rsid w:val="00B92242"/>
    <w:rsid w:val="00C6771C"/>
    <w:rsid w:val="00C9662E"/>
    <w:rsid w:val="00D659FE"/>
    <w:rsid w:val="00DD0292"/>
    <w:rsid w:val="00DD166F"/>
    <w:rsid w:val="00DF5268"/>
    <w:rsid w:val="00E35F67"/>
    <w:rsid w:val="00E7437D"/>
    <w:rsid w:val="00ED7BD1"/>
    <w:rsid w:val="00F006B0"/>
    <w:rsid w:val="00F02354"/>
    <w:rsid w:val="00F62CEC"/>
    <w:rsid w:val="00FE5072"/>
    <w:rsid w:val="00FE5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A9B3"/>
  <w15:docId w15:val="{E4B62FC2-E308-459D-87AB-E004A6B8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37D"/>
    <w:rPr>
      <w:rFonts w:ascii="Tahoma" w:hAnsi="Tahoma" w:cs="Tahoma"/>
      <w:sz w:val="16"/>
      <w:szCs w:val="16"/>
    </w:rPr>
  </w:style>
  <w:style w:type="table" w:styleId="TableGrid">
    <w:name w:val="Table Grid"/>
    <w:basedOn w:val="TableNormal"/>
    <w:uiPriority w:val="59"/>
    <w:rsid w:val="00E74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242"/>
    <w:rPr>
      <w:color w:val="0000FF" w:themeColor="hyperlink"/>
      <w:u w:val="single"/>
    </w:rPr>
  </w:style>
  <w:style w:type="paragraph" w:styleId="NormalWeb">
    <w:name w:val="Normal (Web)"/>
    <w:basedOn w:val="Normal"/>
    <w:uiPriority w:val="99"/>
    <w:semiHidden/>
    <w:unhideWhenUsed/>
    <w:rsid w:val="005C7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1B1C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1B1CC7"/>
  </w:style>
  <w:style w:type="paragraph" w:styleId="ListParagraph">
    <w:name w:val="List Paragraph"/>
    <w:basedOn w:val="Normal"/>
    <w:uiPriority w:val="34"/>
    <w:qFormat/>
    <w:rsid w:val="00913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44351">
      <w:bodyDiv w:val="1"/>
      <w:marLeft w:val="0"/>
      <w:marRight w:val="0"/>
      <w:marTop w:val="0"/>
      <w:marBottom w:val="0"/>
      <w:divBdr>
        <w:top w:val="none" w:sz="0" w:space="0" w:color="auto"/>
        <w:left w:val="none" w:sz="0" w:space="0" w:color="auto"/>
        <w:bottom w:val="none" w:sz="0" w:space="0" w:color="auto"/>
        <w:right w:val="none" w:sz="0" w:space="0" w:color="auto"/>
      </w:divBdr>
      <w:divsChild>
        <w:div w:id="263343593">
          <w:marLeft w:val="0"/>
          <w:marRight w:val="0"/>
          <w:marTop w:val="0"/>
          <w:marBottom w:val="0"/>
          <w:divBdr>
            <w:top w:val="none" w:sz="0" w:space="0" w:color="auto"/>
            <w:left w:val="none" w:sz="0" w:space="0" w:color="auto"/>
            <w:bottom w:val="none" w:sz="0" w:space="0" w:color="auto"/>
            <w:right w:val="none" w:sz="0" w:space="0" w:color="auto"/>
          </w:divBdr>
          <w:divsChild>
            <w:div w:id="2120759313">
              <w:marLeft w:val="0"/>
              <w:marRight w:val="0"/>
              <w:marTop w:val="0"/>
              <w:marBottom w:val="0"/>
              <w:divBdr>
                <w:top w:val="none" w:sz="0" w:space="0" w:color="auto"/>
                <w:left w:val="none" w:sz="0" w:space="0" w:color="auto"/>
                <w:bottom w:val="none" w:sz="0" w:space="0" w:color="auto"/>
                <w:right w:val="none" w:sz="0" w:space="0" w:color="auto"/>
              </w:divBdr>
              <w:divsChild>
                <w:div w:id="83957681">
                  <w:marLeft w:val="0"/>
                  <w:marRight w:val="0"/>
                  <w:marTop w:val="0"/>
                  <w:marBottom w:val="0"/>
                  <w:divBdr>
                    <w:top w:val="none" w:sz="0" w:space="0" w:color="auto"/>
                    <w:left w:val="none" w:sz="0" w:space="0" w:color="auto"/>
                    <w:bottom w:val="none" w:sz="0" w:space="0" w:color="auto"/>
                    <w:right w:val="none" w:sz="0" w:space="0" w:color="auto"/>
                  </w:divBdr>
                  <w:divsChild>
                    <w:div w:id="393167356">
                      <w:marLeft w:val="0"/>
                      <w:marRight w:val="0"/>
                      <w:marTop w:val="0"/>
                      <w:marBottom w:val="0"/>
                      <w:divBdr>
                        <w:top w:val="none" w:sz="0" w:space="0" w:color="auto"/>
                        <w:left w:val="none" w:sz="0" w:space="0" w:color="auto"/>
                        <w:bottom w:val="none" w:sz="0" w:space="0" w:color="auto"/>
                        <w:right w:val="none" w:sz="0" w:space="0" w:color="auto"/>
                      </w:divBdr>
                      <w:divsChild>
                        <w:div w:id="1684285470">
                          <w:marLeft w:val="0"/>
                          <w:marRight w:val="0"/>
                          <w:marTop w:val="0"/>
                          <w:marBottom w:val="0"/>
                          <w:divBdr>
                            <w:top w:val="none" w:sz="0" w:space="0" w:color="auto"/>
                            <w:left w:val="none" w:sz="0" w:space="0" w:color="auto"/>
                            <w:bottom w:val="none" w:sz="0" w:space="0" w:color="auto"/>
                            <w:right w:val="none" w:sz="0" w:space="0" w:color="auto"/>
                          </w:divBdr>
                          <w:divsChild>
                            <w:div w:id="16774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250230">
      <w:bodyDiv w:val="1"/>
      <w:marLeft w:val="0"/>
      <w:marRight w:val="0"/>
      <w:marTop w:val="0"/>
      <w:marBottom w:val="0"/>
      <w:divBdr>
        <w:top w:val="none" w:sz="0" w:space="0" w:color="auto"/>
        <w:left w:val="none" w:sz="0" w:space="0" w:color="auto"/>
        <w:bottom w:val="none" w:sz="0" w:space="0" w:color="auto"/>
        <w:right w:val="none" w:sz="0" w:space="0" w:color="auto"/>
      </w:divBdr>
    </w:div>
    <w:div w:id="618685054">
      <w:bodyDiv w:val="1"/>
      <w:marLeft w:val="0"/>
      <w:marRight w:val="0"/>
      <w:marTop w:val="0"/>
      <w:marBottom w:val="0"/>
      <w:divBdr>
        <w:top w:val="none" w:sz="0" w:space="0" w:color="auto"/>
        <w:left w:val="none" w:sz="0" w:space="0" w:color="auto"/>
        <w:bottom w:val="none" w:sz="0" w:space="0" w:color="auto"/>
        <w:right w:val="none" w:sz="0" w:space="0" w:color="auto"/>
      </w:divBdr>
      <w:divsChild>
        <w:div w:id="1616133672">
          <w:marLeft w:val="0"/>
          <w:marRight w:val="0"/>
          <w:marTop w:val="0"/>
          <w:marBottom w:val="0"/>
          <w:divBdr>
            <w:top w:val="none" w:sz="0" w:space="0" w:color="auto"/>
            <w:left w:val="none" w:sz="0" w:space="0" w:color="auto"/>
            <w:bottom w:val="none" w:sz="0" w:space="0" w:color="auto"/>
            <w:right w:val="none" w:sz="0" w:space="0" w:color="auto"/>
          </w:divBdr>
          <w:divsChild>
            <w:div w:id="2108193483">
              <w:marLeft w:val="0"/>
              <w:marRight w:val="0"/>
              <w:marTop w:val="0"/>
              <w:marBottom w:val="0"/>
              <w:divBdr>
                <w:top w:val="none" w:sz="0" w:space="0" w:color="auto"/>
                <w:left w:val="none" w:sz="0" w:space="0" w:color="auto"/>
                <w:bottom w:val="none" w:sz="0" w:space="0" w:color="auto"/>
                <w:right w:val="none" w:sz="0" w:space="0" w:color="auto"/>
              </w:divBdr>
              <w:divsChild>
                <w:div w:id="1171915065">
                  <w:marLeft w:val="0"/>
                  <w:marRight w:val="0"/>
                  <w:marTop w:val="0"/>
                  <w:marBottom w:val="0"/>
                  <w:divBdr>
                    <w:top w:val="none" w:sz="0" w:space="0" w:color="auto"/>
                    <w:left w:val="none" w:sz="0" w:space="0" w:color="auto"/>
                    <w:bottom w:val="none" w:sz="0" w:space="0" w:color="auto"/>
                    <w:right w:val="none" w:sz="0" w:space="0" w:color="auto"/>
                  </w:divBdr>
                  <w:divsChild>
                    <w:div w:id="381828989">
                      <w:marLeft w:val="0"/>
                      <w:marRight w:val="0"/>
                      <w:marTop w:val="0"/>
                      <w:marBottom w:val="0"/>
                      <w:divBdr>
                        <w:top w:val="none" w:sz="0" w:space="0" w:color="auto"/>
                        <w:left w:val="none" w:sz="0" w:space="0" w:color="auto"/>
                        <w:bottom w:val="none" w:sz="0" w:space="0" w:color="auto"/>
                        <w:right w:val="none" w:sz="0" w:space="0" w:color="auto"/>
                      </w:divBdr>
                      <w:divsChild>
                        <w:div w:id="21981349">
                          <w:marLeft w:val="0"/>
                          <w:marRight w:val="0"/>
                          <w:marTop w:val="0"/>
                          <w:marBottom w:val="0"/>
                          <w:divBdr>
                            <w:top w:val="none" w:sz="0" w:space="0" w:color="auto"/>
                            <w:left w:val="none" w:sz="0" w:space="0" w:color="auto"/>
                            <w:bottom w:val="none" w:sz="0" w:space="0" w:color="auto"/>
                            <w:right w:val="none" w:sz="0" w:space="0" w:color="auto"/>
                          </w:divBdr>
                          <w:divsChild>
                            <w:div w:id="9708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08739">
      <w:bodyDiv w:val="1"/>
      <w:marLeft w:val="0"/>
      <w:marRight w:val="0"/>
      <w:marTop w:val="0"/>
      <w:marBottom w:val="0"/>
      <w:divBdr>
        <w:top w:val="none" w:sz="0" w:space="0" w:color="auto"/>
        <w:left w:val="none" w:sz="0" w:space="0" w:color="auto"/>
        <w:bottom w:val="none" w:sz="0" w:space="0" w:color="auto"/>
        <w:right w:val="none" w:sz="0" w:space="0" w:color="auto"/>
      </w:divBdr>
    </w:div>
    <w:div w:id="1030258425">
      <w:bodyDiv w:val="1"/>
      <w:marLeft w:val="0"/>
      <w:marRight w:val="0"/>
      <w:marTop w:val="0"/>
      <w:marBottom w:val="0"/>
      <w:divBdr>
        <w:top w:val="none" w:sz="0" w:space="0" w:color="auto"/>
        <w:left w:val="none" w:sz="0" w:space="0" w:color="auto"/>
        <w:bottom w:val="none" w:sz="0" w:space="0" w:color="auto"/>
        <w:right w:val="none" w:sz="0" w:space="0" w:color="auto"/>
      </w:divBdr>
    </w:div>
    <w:div w:id="1474568339">
      <w:bodyDiv w:val="1"/>
      <w:marLeft w:val="0"/>
      <w:marRight w:val="0"/>
      <w:marTop w:val="0"/>
      <w:marBottom w:val="0"/>
      <w:divBdr>
        <w:top w:val="none" w:sz="0" w:space="0" w:color="auto"/>
        <w:left w:val="none" w:sz="0" w:space="0" w:color="auto"/>
        <w:bottom w:val="none" w:sz="0" w:space="0" w:color="auto"/>
        <w:right w:val="none" w:sz="0" w:space="0" w:color="auto"/>
      </w:divBdr>
    </w:div>
    <w:div w:id="179270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umaneeducatorsoftexas.com" TargetMode="External"/><Relationship Id="rId5" Type="http://schemas.openxmlformats.org/officeDocument/2006/relationships/hyperlink" Target="http://www.humaneeducatorsoftexa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Andrews</dc:creator>
  <cp:lastModifiedBy>Humane Educators</cp:lastModifiedBy>
  <cp:revision>8</cp:revision>
  <cp:lastPrinted>2021-03-31T18:36:00Z</cp:lastPrinted>
  <dcterms:created xsi:type="dcterms:W3CDTF">2021-02-10T20:32:00Z</dcterms:created>
  <dcterms:modified xsi:type="dcterms:W3CDTF">2024-09-16T13:38:00Z</dcterms:modified>
</cp:coreProperties>
</file>